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0B1020"/>
          </w:tcPr>
          <w:p>
            <w:pPr>
              <w:spacing w:before="840" w:after="200"/>
              <w:jc w:val="center"/>
            </w:pPr>
            <w:r>
              <w:rPr>
                <w:b/>
                <w:color w:val="F7C948"/>
                <w:sz w:val="68"/>
              </w:rPr>
              <w:t>CompileX</w:t>
            </w:r>
          </w:p>
          <w:p>
            <w:pPr>
              <w:jc w:val="center"/>
            </w:pPr>
            <w:r>
              <w:rPr>
                <w:b/>
                <w:color w:val="FFFFFF"/>
                <w:sz w:val="40"/>
              </w:rPr>
              <w:t>Litepaper v0.4</w:t>
            </w:r>
          </w:p>
          <w:p>
            <w:pPr>
              <w:jc w:val="center"/>
            </w:pPr>
            <w:r>
              <w:rPr>
                <w:color w:val="CBD5E1"/>
                <w:sz w:val="22"/>
              </w:rPr>
              <w:t>Bitcoin-inspiriertes digitales Asset für Builder und Developer</w:t>
            </w:r>
          </w:p>
          <w:p>
            <w:pPr>
              <w:spacing w:after="840"/>
              <w:jc w:val="center"/>
            </w:pPr>
            <w:r>
              <w:rPr>
                <w:color w:val="B4BECD"/>
                <w:sz w:val="18"/>
              </w:rPr>
              <w:t>Stand: 31.07.2026 | Netzwerk: Ethereum Sepolia | Symbol: CMPX</w:t>
            </w:r>
          </w:p>
        </w:tc>
      </w:tr>
    </w:tbl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12"/>
        <w:gridCol w:w="5112"/>
      </w:tblGrid>
      <w:tr>
        <w:trPr>
          <w:tblHeader w:val="true"/>
        </w:trPr>
        <w:tc>
          <w:tcPr>
            <w:tcW w:type="dxa" w:w="2016"/>
            <w:shd w:fill="14213D"/>
            <w:vAlign w:val="center"/>
          </w:tcPr>
          <w:p>
            <w:pPr>
              <w:spacing w:after="0"/>
            </w:pPr>
            <w:r/>
            <w:r>
              <w:rPr>
                <w:b/>
                <w:color w:val="FFFFFF"/>
                <w:sz w:val="17"/>
              </w:rPr>
              <w:t>Feld</w:t>
            </w:r>
          </w:p>
        </w:tc>
        <w:tc>
          <w:tcPr>
            <w:tcW w:type="dxa" w:w="7776"/>
            <w:shd w:fill="14213D"/>
            <w:vAlign w:val="center"/>
          </w:tcPr>
          <w:p>
            <w:pPr>
              <w:spacing w:after="0"/>
            </w:pPr>
            <w:r/>
            <w:r>
              <w:rPr>
                <w:b/>
                <w:color w:val="FFFFFF"/>
                <w:sz w:val="17"/>
              </w:rPr>
              <w:t>Wert</w:t>
            </w:r>
          </w:p>
        </w:tc>
      </w:tr>
      <w:tr>
        <w:tc>
          <w:tcPr>
            <w:tcW w:type="dxa" w:w="2016"/>
            <w:vAlign w:val="center"/>
          </w:tcPr>
          <w:p>
            <w:pPr>
              <w:spacing w:after="0"/>
            </w:pPr>
            <w:r/>
            <w:r>
              <w:rPr>
                <w:b/>
                <w:color w:val="1F2937"/>
                <w:sz w:val="16"/>
              </w:rPr>
              <w:t>Projekt</w:t>
            </w:r>
          </w:p>
        </w:tc>
        <w:tc>
          <w:tcPr>
            <w:tcW w:type="dxa" w:w="7776"/>
            <w:vAlign w:val="center"/>
          </w:tcPr>
          <w:p>
            <w:pPr>
              <w:spacing w:after="0"/>
            </w:pPr>
            <w:r/>
            <w:r>
              <w:rPr>
                <w:b w:val="0"/>
                <w:color w:val="1F2937"/>
                <w:sz w:val="16"/>
              </w:rPr>
              <w:t>CompileX</w:t>
            </w:r>
          </w:p>
        </w:tc>
      </w:tr>
      <w:tr>
        <w:tc>
          <w:tcPr>
            <w:tcW w:type="dxa" w:w="2016"/>
            <w:vAlign w:val="center"/>
          </w:tcPr>
          <w:p>
            <w:pPr>
              <w:spacing w:after="0"/>
            </w:pPr>
            <w:r/>
            <w:r>
              <w:rPr>
                <w:b/>
                <w:color w:val="1F2937"/>
                <w:sz w:val="16"/>
              </w:rPr>
              <w:t>Token</w:t>
            </w:r>
          </w:p>
        </w:tc>
        <w:tc>
          <w:tcPr>
            <w:tcW w:type="dxa" w:w="7776"/>
            <w:vAlign w:val="center"/>
          </w:tcPr>
          <w:p>
            <w:pPr>
              <w:spacing w:after="0"/>
            </w:pPr>
            <w:r/>
            <w:r>
              <w:rPr>
                <w:b w:val="0"/>
                <w:color w:val="1F2937"/>
                <w:sz w:val="16"/>
              </w:rPr>
              <w:t>CMPX</w:t>
            </w:r>
          </w:p>
        </w:tc>
      </w:tr>
      <w:tr>
        <w:tc>
          <w:tcPr>
            <w:tcW w:type="dxa" w:w="2016"/>
            <w:vAlign w:val="center"/>
          </w:tcPr>
          <w:p>
            <w:pPr>
              <w:spacing w:after="0"/>
            </w:pPr>
            <w:r/>
            <w:r>
              <w:rPr>
                <w:b/>
                <w:color w:val="1F2937"/>
                <w:sz w:val="16"/>
              </w:rPr>
              <w:t>Website</w:t>
            </w:r>
          </w:p>
        </w:tc>
        <w:tc>
          <w:tcPr>
            <w:tcW w:type="dxa" w:w="7776"/>
            <w:vAlign w:val="center"/>
          </w:tcPr>
          <w:p>
            <w:pPr>
              <w:spacing w:after="0"/>
            </w:pPr>
            <w:r/>
            <w:r>
              <w:rPr>
                <w:b w:val="0"/>
                <w:color w:val="1F2937"/>
                <w:sz w:val="16"/>
              </w:rPr>
              <w:t>https://compilex-token.dev</w:t>
            </w:r>
          </w:p>
        </w:tc>
      </w:tr>
      <w:tr>
        <w:tc>
          <w:tcPr>
            <w:tcW w:type="dxa" w:w="2016"/>
            <w:vAlign w:val="center"/>
          </w:tcPr>
          <w:p>
            <w:pPr>
              <w:spacing w:after="0"/>
            </w:pPr>
            <w:r/>
            <w:r>
              <w:rPr>
                <w:b/>
                <w:color w:val="1F2937"/>
                <w:sz w:val="16"/>
              </w:rPr>
              <w:t>GitHub</w:t>
            </w:r>
          </w:p>
        </w:tc>
        <w:tc>
          <w:tcPr>
            <w:tcW w:type="dxa" w:w="7776"/>
            <w:vAlign w:val="center"/>
          </w:tcPr>
          <w:p>
            <w:pPr>
              <w:spacing w:after="0"/>
            </w:pPr>
            <w:r/>
            <w:r>
              <w:rPr>
                <w:b w:val="0"/>
                <w:color w:val="1F2937"/>
                <w:sz w:val="16"/>
              </w:rPr>
              <w:t>https://github.com/CompileX-Token/compilex-cmpx-token</w:t>
            </w:r>
          </w:p>
        </w:tc>
      </w:tr>
      <w:tr>
        <w:tc>
          <w:tcPr>
            <w:tcW w:type="dxa" w:w="2016"/>
            <w:vAlign w:val="center"/>
          </w:tcPr>
          <w:p>
            <w:pPr>
              <w:spacing w:after="0"/>
            </w:pPr>
            <w:r/>
            <w:r>
              <w:rPr>
                <w:b/>
                <w:color w:val="1F2937"/>
                <w:sz w:val="16"/>
              </w:rPr>
              <w:t>Release</w:t>
            </w:r>
          </w:p>
        </w:tc>
        <w:tc>
          <w:tcPr>
            <w:tcW w:type="dxa" w:w="7776"/>
            <w:vAlign w:val="center"/>
          </w:tcPr>
          <w:p>
            <w:pPr>
              <w:spacing w:after="0"/>
            </w:pPr>
            <w:r/>
            <w:r>
              <w:rPr>
                <w:b w:val="0"/>
                <w:color w:val="1F2937"/>
                <w:sz w:val="16"/>
              </w:rPr>
              <w:t>https://github.com/CompileX-Token/compilex-cmpx-token/releases/tag/v0.1.0</w:t>
            </w:r>
          </w:p>
        </w:tc>
      </w:tr>
      <w:tr>
        <w:tc>
          <w:tcPr>
            <w:tcW w:type="dxa" w:w="2016"/>
            <w:vAlign w:val="center"/>
          </w:tcPr>
          <w:p>
            <w:pPr>
              <w:spacing w:after="0"/>
            </w:pPr>
            <w:r/>
            <w:r>
              <w:rPr>
                <w:b/>
                <w:color w:val="1F2937"/>
                <w:sz w:val="16"/>
              </w:rPr>
              <w:t>Contract</w:t>
            </w:r>
          </w:p>
        </w:tc>
        <w:tc>
          <w:tcPr>
            <w:tcW w:type="dxa" w:w="7776"/>
            <w:vAlign w:val="center"/>
          </w:tcPr>
          <w:p>
            <w:pPr>
              <w:spacing w:after="0"/>
            </w:pPr>
            <w:r/>
            <w:r>
              <w:rPr>
                <w:b w:val="0"/>
                <w:color w:val="1F2937"/>
                <w:sz w:val="16"/>
              </w:rPr>
              <w:t>0xa1A09ba7357c5187d90E1De160bFd868151f3D8C</w:t>
            </w:r>
          </w:p>
        </w:tc>
      </w:tr>
    </w:tbl>
    <w:p>
      <w:pPr>
        <w:spacing w:after="4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FF7D6"/>
          </w:tcPr>
          <w:p>
            <w:r>
              <w:rPr>
                <w:b/>
                <w:color w:val="735200"/>
                <w:sz w:val="20"/>
              </w:rPr>
              <w:t>Wichtiger Hinweis</w:t>
            </w:r>
            <w:r>
              <w:rPr>
                <w:color w:val="3D3014"/>
                <w:sz w:val="18"/>
              </w:rPr>
              <w:br/>
              <w:t>CompileX ist aktuell ein Sepolia-Testnet-Prototyp. Dieses Dokument ist kein Verkaufsangebot, keine Anlageberatung und kein Gewinnversprechen.</w:t>
            </w:r>
          </w:p>
        </w:tc>
      </w:tr>
    </w:tbl>
    <w:p>
      <w:pPr>
        <w:spacing w:after="20"/>
      </w:pPr>
    </w:p>
    <w:p>
      <w:pPr>
        <w:pStyle w:val="Heading1"/>
        <w:spacing w:before="320" w:after="120"/>
      </w:pPr>
      <w:r>
        <w:rPr>
          <w:color w:val="142846"/>
          <w:sz w:val="34"/>
        </w:rPr>
        <w:t>1. Kurzfassung</w:t>
      </w:r>
    </w:p>
    <w:p>
      <w:pPr>
        <w:spacing w:after="140"/>
      </w:pPr>
      <w:r>
        <w:rPr>
          <w:color w:val="1F2937"/>
          <w:sz w:val="20"/>
        </w:rPr>
        <w:t>CompileX ist ein Bitcoin-inspiriertes digitales Asset für Entwickler, Builder und technische Communities. Der aktuelle CMPX-Prototyp ist ein verifizierter ERC-20-Token auf dem Ethereum-Sepolia-Testnet.</w:t>
      </w:r>
    </w:p>
    <w:p>
      <w:pPr>
        <w:spacing w:after="140"/>
      </w:pPr>
      <w:r>
        <w:rPr>
          <w:color w:val="1F2937"/>
          <w:sz w:val="20"/>
        </w:rPr>
        <w:t>Der Fokus liegt auf digitaler Knappheit, transparenter Tokenlogik und praktischer Nutzbarkeit. Seit der vorherigen Version wurden die öffentliche GitHub-Struktur, der erste GitHub Release, die Roadmap-Seite und eine Checkout Demo ergänzt.</w:t>
      </w:r>
    </w:p>
    <w:p>
      <w:pPr>
        <w:spacing w:after="140"/>
      </w:pPr>
      <w:r>
        <w:rPr>
          <w:color w:val="1F2937"/>
          <w:sz w:val="20"/>
        </w:rPr>
        <w:t>CompileX ist aktuell ein experimentelles Testnet-Projekt. Dieses Litepaper stellt kein öffentliches Verkaufsangebot, keine Anlageberatung und kein Gewinnversprechen dar.</w:t>
      </w:r>
    </w:p>
    <w:p>
      <w:pPr>
        <w:pStyle w:val="Heading1"/>
        <w:spacing w:before="320" w:after="120"/>
      </w:pPr>
      <w:r>
        <w:rPr>
          <w:color w:val="142846"/>
          <w:sz w:val="34"/>
        </w:rPr>
        <w:t>2. Aktueller Projektstatus</w:t>
      </w:r>
    </w:p>
    <w:p>
      <w:pPr>
        <w:spacing w:after="140"/>
      </w:pPr>
      <w:r>
        <w:rPr>
          <w:color w:val="1F2937"/>
          <w:sz w:val="20"/>
        </w:rPr>
        <w:t>Der Stand von CompileX v0.4 ist:</w:t>
      </w:r>
    </w:p>
    <w:p>
      <w:pPr>
        <w:pStyle w:val="ListBullet"/>
        <w:spacing w:after="60"/>
      </w:pPr>
      <w:r>
        <w:rPr>
          <w:color w:val="1F2937"/>
          <w:sz w:val="20"/>
        </w:rPr>
        <w:t>Sepolia-Contract deployed und verifiziert</w:t>
      </w:r>
    </w:p>
    <w:p>
      <w:pPr>
        <w:pStyle w:val="ListBullet"/>
        <w:spacing w:after="60"/>
      </w:pPr>
      <w:r>
        <w:rPr>
          <w:color w:val="1F2937"/>
          <w:sz w:val="20"/>
        </w:rPr>
        <w:t>Smart Contract öffentlich auf Etherscan einsehbar</w:t>
      </w:r>
    </w:p>
    <w:p>
      <w:pPr>
        <w:pStyle w:val="ListBullet"/>
        <w:spacing w:after="60"/>
      </w:pPr>
      <w:r>
        <w:rPr>
          <w:color w:val="1F2937"/>
          <w:sz w:val="20"/>
        </w:rPr>
        <w:t>GitHub Repository öffentlich</w:t>
      </w:r>
    </w:p>
    <w:p>
      <w:pPr>
        <w:pStyle w:val="ListBullet"/>
        <w:spacing w:after="60"/>
      </w:pPr>
      <w:r>
        <w:rPr>
          <w:color w:val="1F2937"/>
          <w:sz w:val="20"/>
        </w:rPr>
        <w:t>GitHub Actions Workflow erfolgreich eingerichtet</w:t>
      </w:r>
    </w:p>
    <w:p>
      <w:pPr>
        <w:pStyle w:val="ListBullet"/>
        <w:spacing w:after="60"/>
      </w:pPr>
      <w:r>
        <w:rPr>
          <w:color w:val="1F2937"/>
          <w:sz w:val="20"/>
        </w:rPr>
        <w:t>erster öffentlicher Release veröffentlicht</w:t>
      </w:r>
    </w:p>
    <w:p>
      <w:pPr>
        <w:pStyle w:val="ListBullet"/>
        <w:spacing w:after="60"/>
      </w:pPr>
      <w:r>
        <w:rPr>
          <w:color w:val="1F2937"/>
          <w:sz w:val="20"/>
        </w:rPr>
        <w:t>Landingpage, Rechtseiten und Roadmap online</w:t>
      </w:r>
    </w:p>
    <w:p>
      <w:pPr>
        <w:pStyle w:val="ListBullet"/>
        <w:spacing w:after="60"/>
      </w:pPr>
      <w:r>
        <w:rPr>
          <w:color w:val="1F2937"/>
          <w:sz w:val="20"/>
        </w:rPr>
        <w:t>CompileX Pay Demo und Checkout Demo online</w:t>
      </w:r>
    </w:p>
    <w:p>
      <w:pPr>
        <w:pStyle w:val="ListBullet"/>
        <w:spacing w:after="60"/>
      </w:pPr>
      <w:r>
        <w:rPr>
          <w:color w:val="1F2937"/>
          <w:sz w:val="20"/>
        </w:rPr>
        <w:t>Litepaper v0.4 als aktueller Dokumentationsstand</w:t>
      </w:r>
    </w:p>
    <w:p>
      <w:pPr>
        <w:spacing w:after="140"/>
      </w:pPr>
      <w:r>
        <w:rPr>
          <w:color w:val="1F2937"/>
          <w:sz w:val="20"/>
        </w:rPr>
        <w:t>Der aktuelle öffentliche Release ist CompileX v0.1 - Sepolia Testnet Prototype.</w:t>
      </w:r>
    </w:p>
    <w:p>
      <w:pPr>
        <w:pStyle w:val="Heading1"/>
        <w:spacing w:before="320" w:after="120"/>
      </w:pPr>
      <w:r>
        <w:rPr>
          <w:color w:val="142846"/>
          <w:sz w:val="34"/>
        </w:rPr>
        <w:t>3. Designprinzipien</w:t>
      </w:r>
    </w:p>
    <w:p>
      <w:pPr>
        <w:spacing w:after="140"/>
      </w:pPr>
      <w:r>
        <w:rPr>
          <w:color w:val="1F2937"/>
          <w:sz w:val="20"/>
        </w:rPr>
        <w:t>CompileX orientiert sich an einfachen, überprüfbaren Regeln:</w:t>
      </w:r>
    </w:p>
    <w:p>
      <w:pPr>
        <w:pStyle w:val="ListBullet"/>
        <w:spacing w:after="60"/>
      </w:pPr>
      <w:r>
        <w:rPr>
          <w:color w:val="1F2937"/>
          <w:sz w:val="20"/>
        </w:rPr>
        <w:t>feste maximale Tokenmenge</w:t>
      </w:r>
    </w:p>
    <w:p>
      <w:pPr>
        <w:pStyle w:val="ListBullet"/>
        <w:spacing w:after="60"/>
      </w:pPr>
      <w:r>
        <w:rPr>
          <w:color w:val="1F2937"/>
          <w:sz w:val="20"/>
        </w:rPr>
        <w:t>keine nachträgliche Mint-Funktion</w:t>
      </w:r>
    </w:p>
    <w:p>
      <w:pPr>
        <w:pStyle w:val="ListBullet"/>
        <w:spacing w:after="60"/>
      </w:pPr>
      <w:r>
        <w:rPr>
          <w:color w:val="1F2937"/>
          <w:sz w:val="20"/>
        </w:rPr>
        <w:t>keine Owner- oder Admin-Rollen</w:t>
      </w:r>
    </w:p>
    <w:p>
      <w:pPr>
        <w:pStyle w:val="ListBullet"/>
        <w:spacing w:after="60"/>
      </w:pPr>
      <w:r>
        <w:rPr>
          <w:color w:val="1F2937"/>
          <w:sz w:val="20"/>
        </w:rPr>
        <w:t>keine Blacklist</w:t>
      </w:r>
    </w:p>
    <w:p>
      <w:pPr>
        <w:pStyle w:val="ListBullet"/>
        <w:spacing w:after="60"/>
      </w:pPr>
      <w:r>
        <w:rPr>
          <w:color w:val="1F2937"/>
          <w:sz w:val="20"/>
        </w:rPr>
        <w:t>keine Transfersteuer</w:t>
      </w:r>
    </w:p>
    <w:p>
      <w:pPr>
        <w:pStyle w:val="ListBullet"/>
        <w:spacing w:after="60"/>
      </w:pPr>
      <w:r>
        <w:rPr>
          <w:color w:val="1F2937"/>
          <w:sz w:val="20"/>
        </w:rPr>
        <w:t>Burn-Funktion aktiv</w:t>
      </w:r>
    </w:p>
    <w:p>
      <w:pPr>
        <w:pStyle w:val="ListBullet"/>
        <w:spacing w:after="60"/>
      </w:pPr>
      <w:r>
        <w:rPr>
          <w:color w:val="1F2937"/>
          <w:sz w:val="20"/>
        </w:rPr>
        <w:t>Permit/EIP-2612-Unterstützung aktiv</w:t>
      </w:r>
    </w:p>
    <w:p>
      <w:pPr>
        <w:pStyle w:val="ListBullet"/>
        <w:spacing w:after="60"/>
      </w:pPr>
      <w:r>
        <w:rPr>
          <w:color w:val="1F2937"/>
          <w:sz w:val="20"/>
        </w:rPr>
        <w:t>öffentliche Contract-Verifizierung</w:t>
      </w:r>
    </w:p>
    <w:p>
      <w:pPr>
        <w:pStyle w:val="ListBullet"/>
        <w:spacing w:after="60"/>
      </w:pPr>
      <w:r>
        <w:rPr>
          <w:color w:val="1F2937"/>
          <w:sz w:val="20"/>
        </w:rPr>
        <w:t>Fokus auf Builder, Developer-Tools und technische Anwendungen</w:t>
      </w:r>
    </w:p>
    <w:p>
      <w:pPr>
        <w:spacing w:after="140"/>
      </w:pPr>
      <w:r>
        <w:rPr>
          <w:color w:val="1F2937"/>
          <w:sz w:val="20"/>
        </w:rPr>
        <w:t>CompileX soll nicht als „neues Bitcoin“ oder „Bitcoin 2.0“ verstanden werden. Die Formulierung „Bitcoin-inspiriert“ bezieht sich auf Knappheit, klare Regeln und überprüfbare Tokenlogik.</w:t>
      </w:r>
    </w:p>
    <w:p>
      <w:pPr>
        <w:pStyle w:val="Heading1"/>
        <w:spacing w:before="320" w:after="120"/>
      </w:pPr>
      <w:r>
        <w:rPr>
          <w:color w:val="142846"/>
          <w:sz w:val="34"/>
        </w:rPr>
        <w:t>4. Token-Parameter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12"/>
        <w:gridCol w:w="5112"/>
      </w:tblGrid>
      <w:tr>
        <w:trPr>
          <w:tblHeader w:val="true"/>
        </w:trPr>
        <w:tc>
          <w:tcPr>
            <w:tcW w:type="dxa" w:w="2880"/>
            <w:shd w:fill="14213D"/>
            <w:vAlign w:val="center"/>
          </w:tcPr>
          <w:p>
            <w:pPr>
              <w:spacing w:after="0"/>
            </w:pPr>
            <w:r/>
            <w:r>
              <w:rPr>
                <w:b/>
                <w:color w:val="FFFFFF"/>
                <w:sz w:val="17"/>
              </w:rPr>
              <w:t>Eigenschaft</w:t>
            </w:r>
          </w:p>
        </w:tc>
        <w:tc>
          <w:tcPr>
            <w:tcW w:type="dxa" w:w="6912"/>
            <w:shd w:fill="14213D"/>
            <w:vAlign w:val="center"/>
          </w:tcPr>
          <w:p>
            <w:pPr>
              <w:spacing w:after="0"/>
            </w:pPr>
            <w:r/>
            <w:r>
              <w:rPr>
                <w:b/>
                <w:color w:val="FFFFFF"/>
                <w:sz w:val="17"/>
              </w:rPr>
              <w:t>Wert</w:t>
            </w:r>
          </w:p>
        </w:tc>
      </w:tr>
      <w:tr>
        <w:tc>
          <w:tcPr>
            <w:tcW w:type="dxa" w:w="2880"/>
            <w:vAlign w:val="center"/>
          </w:tcPr>
          <w:p>
            <w:pPr>
              <w:spacing w:after="0"/>
            </w:pPr>
            <w:r/>
            <w:r>
              <w:rPr>
                <w:b/>
                <w:color w:val="1F2937"/>
                <w:sz w:val="16"/>
              </w:rPr>
              <w:t>Name</w:t>
            </w:r>
          </w:p>
        </w:tc>
        <w:tc>
          <w:tcPr>
            <w:tcW w:type="dxa" w:w="6912"/>
            <w:vAlign w:val="center"/>
          </w:tcPr>
          <w:p>
            <w:pPr>
              <w:spacing w:after="0"/>
            </w:pPr>
            <w:r/>
            <w:r>
              <w:rPr>
                <w:b w:val="0"/>
                <w:color w:val="1F2937"/>
                <w:sz w:val="16"/>
              </w:rPr>
              <w:t>CompileX</w:t>
            </w:r>
          </w:p>
        </w:tc>
      </w:tr>
      <w:tr>
        <w:tc>
          <w:tcPr>
            <w:tcW w:type="dxa" w:w="2880"/>
            <w:vAlign w:val="center"/>
          </w:tcPr>
          <w:p>
            <w:pPr>
              <w:spacing w:after="0"/>
            </w:pPr>
            <w:r/>
            <w:r>
              <w:rPr>
                <w:b/>
                <w:color w:val="1F2937"/>
                <w:sz w:val="16"/>
              </w:rPr>
              <w:t>Symbol</w:t>
            </w:r>
          </w:p>
        </w:tc>
        <w:tc>
          <w:tcPr>
            <w:tcW w:type="dxa" w:w="6912"/>
            <w:vAlign w:val="center"/>
          </w:tcPr>
          <w:p>
            <w:pPr>
              <w:spacing w:after="0"/>
            </w:pPr>
            <w:r/>
            <w:r>
              <w:rPr>
                <w:b w:val="0"/>
                <w:color w:val="1F2937"/>
                <w:sz w:val="16"/>
              </w:rPr>
              <w:t>CMPX</w:t>
            </w:r>
          </w:p>
        </w:tc>
      </w:tr>
      <w:tr>
        <w:tc>
          <w:tcPr>
            <w:tcW w:type="dxa" w:w="2880"/>
            <w:vAlign w:val="center"/>
          </w:tcPr>
          <w:p>
            <w:pPr>
              <w:spacing w:after="0"/>
            </w:pPr>
            <w:r/>
            <w:r>
              <w:rPr>
                <w:b/>
                <w:color w:val="1F2937"/>
                <w:sz w:val="16"/>
              </w:rPr>
              <w:t>Max Supply</w:t>
            </w:r>
          </w:p>
        </w:tc>
        <w:tc>
          <w:tcPr>
            <w:tcW w:type="dxa" w:w="6912"/>
            <w:vAlign w:val="center"/>
          </w:tcPr>
          <w:p>
            <w:pPr>
              <w:spacing w:after="0"/>
            </w:pPr>
            <w:r/>
            <w:r>
              <w:rPr>
                <w:b w:val="0"/>
                <w:color w:val="1F2937"/>
                <w:sz w:val="16"/>
              </w:rPr>
              <w:t>21.000.000 CMPX</w:t>
            </w:r>
          </w:p>
        </w:tc>
      </w:tr>
      <w:tr>
        <w:tc>
          <w:tcPr>
            <w:tcW w:type="dxa" w:w="2880"/>
            <w:vAlign w:val="center"/>
          </w:tcPr>
          <w:p>
            <w:pPr>
              <w:spacing w:after="0"/>
            </w:pPr>
            <w:r/>
            <w:r>
              <w:rPr>
                <w:b/>
                <w:color w:val="1F2937"/>
                <w:sz w:val="16"/>
              </w:rPr>
              <w:t>Decimals</w:t>
            </w:r>
          </w:p>
        </w:tc>
        <w:tc>
          <w:tcPr>
            <w:tcW w:type="dxa" w:w="6912"/>
            <w:vAlign w:val="center"/>
          </w:tcPr>
          <w:p>
            <w:pPr>
              <w:spacing w:after="0"/>
            </w:pPr>
            <w:r/>
            <w:r>
              <w:rPr>
                <w:b w:val="0"/>
                <w:color w:val="1F2937"/>
                <w:sz w:val="16"/>
              </w:rPr>
              <w:t>8</w:t>
            </w:r>
          </w:p>
        </w:tc>
      </w:tr>
      <w:tr>
        <w:tc>
          <w:tcPr>
            <w:tcW w:type="dxa" w:w="2880"/>
            <w:vAlign w:val="center"/>
          </w:tcPr>
          <w:p>
            <w:pPr>
              <w:spacing w:after="0"/>
            </w:pPr>
            <w:r/>
            <w:r>
              <w:rPr>
                <w:b/>
                <w:color w:val="1F2937"/>
                <w:sz w:val="16"/>
              </w:rPr>
              <w:t>Minting</w:t>
            </w:r>
          </w:p>
        </w:tc>
        <w:tc>
          <w:tcPr>
            <w:tcW w:type="dxa" w:w="6912"/>
            <w:vAlign w:val="center"/>
          </w:tcPr>
          <w:p>
            <w:pPr>
              <w:spacing w:after="0"/>
            </w:pPr>
            <w:r/>
            <w:r>
              <w:rPr>
                <w:b w:val="0"/>
                <w:color w:val="1F2937"/>
                <w:sz w:val="16"/>
              </w:rPr>
              <w:t>Nicht vorhanden</w:t>
            </w:r>
          </w:p>
        </w:tc>
      </w:tr>
      <w:tr>
        <w:tc>
          <w:tcPr>
            <w:tcW w:type="dxa" w:w="2880"/>
            <w:vAlign w:val="center"/>
          </w:tcPr>
          <w:p>
            <w:pPr>
              <w:spacing w:after="0"/>
            </w:pPr>
            <w:r/>
            <w:r>
              <w:rPr>
                <w:b/>
                <w:color w:val="1F2937"/>
                <w:sz w:val="16"/>
              </w:rPr>
              <w:t>Owner/Admin</w:t>
            </w:r>
          </w:p>
        </w:tc>
        <w:tc>
          <w:tcPr>
            <w:tcW w:type="dxa" w:w="6912"/>
            <w:vAlign w:val="center"/>
          </w:tcPr>
          <w:p>
            <w:pPr>
              <w:spacing w:after="0"/>
            </w:pPr>
            <w:r/>
            <w:r>
              <w:rPr>
                <w:b w:val="0"/>
                <w:color w:val="1F2937"/>
                <w:sz w:val="16"/>
              </w:rPr>
              <w:t>Nicht vorhanden</w:t>
            </w:r>
          </w:p>
        </w:tc>
      </w:tr>
      <w:tr>
        <w:tc>
          <w:tcPr>
            <w:tcW w:type="dxa" w:w="2880"/>
            <w:vAlign w:val="center"/>
          </w:tcPr>
          <w:p>
            <w:pPr>
              <w:spacing w:after="0"/>
            </w:pPr>
            <w:r/>
            <w:r>
              <w:rPr>
                <w:b/>
                <w:color w:val="1F2937"/>
                <w:sz w:val="16"/>
              </w:rPr>
              <w:t>Burn</w:t>
            </w:r>
          </w:p>
        </w:tc>
        <w:tc>
          <w:tcPr>
            <w:tcW w:type="dxa" w:w="6912"/>
            <w:vAlign w:val="center"/>
          </w:tcPr>
          <w:p>
            <w:pPr>
              <w:spacing w:after="0"/>
            </w:pPr>
            <w:r/>
            <w:r>
              <w:rPr>
                <w:b w:val="0"/>
                <w:color w:val="1F2937"/>
                <w:sz w:val="16"/>
              </w:rPr>
              <w:t>Aktiv</w:t>
            </w:r>
          </w:p>
        </w:tc>
      </w:tr>
      <w:tr>
        <w:tc>
          <w:tcPr>
            <w:tcW w:type="dxa" w:w="2880"/>
            <w:vAlign w:val="center"/>
          </w:tcPr>
          <w:p>
            <w:pPr>
              <w:spacing w:after="0"/>
            </w:pPr>
            <w:r/>
            <w:r>
              <w:rPr>
                <w:b/>
                <w:color w:val="1F2937"/>
                <w:sz w:val="16"/>
              </w:rPr>
              <w:t>Permit</w:t>
            </w:r>
          </w:p>
        </w:tc>
        <w:tc>
          <w:tcPr>
            <w:tcW w:type="dxa" w:w="6912"/>
            <w:vAlign w:val="center"/>
          </w:tcPr>
          <w:p>
            <w:pPr>
              <w:spacing w:after="0"/>
            </w:pPr>
            <w:r/>
            <w:r>
              <w:rPr>
                <w:b w:val="0"/>
                <w:color w:val="1F2937"/>
                <w:sz w:val="16"/>
              </w:rPr>
              <w:t>Aktiv</w:t>
            </w:r>
          </w:p>
        </w:tc>
      </w:tr>
      <w:tr>
        <w:tc>
          <w:tcPr>
            <w:tcW w:type="dxa" w:w="2880"/>
            <w:vAlign w:val="center"/>
          </w:tcPr>
          <w:p>
            <w:pPr>
              <w:spacing w:after="0"/>
            </w:pPr>
            <w:r/>
            <w:r>
              <w:rPr>
                <w:b/>
                <w:color w:val="1F2937"/>
                <w:sz w:val="16"/>
              </w:rPr>
              <w:t>Aktuelles Netzwerk</w:t>
            </w:r>
          </w:p>
        </w:tc>
        <w:tc>
          <w:tcPr>
            <w:tcW w:type="dxa" w:w="6912"/>
            <w:vAlign w:val="center"/>
          </w:tcPr>
          <w:p>
            <w:pPr>
              <w:spacing w:after="0"/>
            </w:pPr>
            <w:r/>
            <w:r>
              <w:rPr>
                <w:b w:val="0"/>
                <w:color w:val="1F2937"/>
                <w:sz w:val="16"/>
              </w:rPr>
              <w:t>Ethereum Sepolia</w:t>
            </w:r>
          </w:p>
        </w:tc>
      </w:tr>
      <w:tr>
        <w:tc>
          <w:tcPr>
            <w:tcW w:type="dxa" w:w="2880"/>
            <w:vAlign w:val="center"/>
          </w:tcPr>
          <w:p>
            <w:pPr>
              <w:spacing w:after="0"/>
            </w:pPr>
            <w:r/>
            <w:r>
              <w:rPr>
                <w:b/>
                <w:color w:val="1F2937"/>
                <w:sz w:val="16"/>
              </w:rPr>
              <w:t>Chain ID</w:t>
            </w:r>
          </w:p>
        </w:tc>
        <w:tc>
          <w:tcPr>
            <w:tcW w:type="dxa" w:w="6912"/>
            <w:vAlign w:val="center"/>
          </w:tcPr>
          <w:p>
            <w:pPr>
              <w:spacing w:after="0"/>
            </w:pPr>
            <w:r/>
            <w:r>
              <w:rPr>
                <w:b w:val="0"/>
                <w:color w:val="1F2937"/>
                <w:sz w:val="16"/>
              </w:rPr>
              <w:t>11155111</w:t>
            </w:r>
          </w:p>
        </w:tc>
      </w:tr>
      <w:tr>
        <w:tc>
          <w:tcPr>
            <w:tcW w:type="dxa" w:w="2880"/>
            <w:vAlign w:val="center"/>
          </w:tcPr>
          <w:p>
            <w:pPr>
              <w:spacing w:after="0"/>
            </w:pPr>
            <w:r/>
            <w:r>
              <w:rPr>
                <w:b/>
                <w:color w:val="1F2937"/>
                <w:sz w:val="16"/>
              </w:rPr>
              <w:t>Contract</w:t>
            </w:r>
          </w:p>
        </w:tc>
        <w:tc>
          <w:tcPr>
            <w:tcW w:type="dxa" w:w="6912"/>
            <w:vAlign w:val="center"/>
          </w:tcPr>
          <w:p>
            <w:pPr>
              <w:spacing w:after="0"/>
            </w:pPr>
            <w:r/>
            <w:r>
              <w:rPr>
                <w:b w:val="0"/>
                <w:color w:val="1F2937"/>
                <w:sz w:val="16"/>
              </w:rPr>
              <w:t>0xa1A09ba7357c5187d90E1De160bFd868151f3D8C</w:t>
            </w:r>
          </w:p>
        </w:tc>
      </w:tr>
    </w:tbl>
    <w:p>
      <w:pPr>
        <w:spacing w:after="40"/>
      </w:pPr>
    </w:p>
    <w:p>
      <w:pPr>
        <w:pStyle w:val="Heading1"/>
        <w:spacing w:before="320" w:after="120"/>
      </w:pPr>
      <w:r>
        <w:rPr>
          <w:color w:val="142846"/>
          <w:sz w:val="34"/>
        </w:rPr>
        <w:t>5. Tokenomics v0.2</w:t>
      </w:r>
    </w:p>
    <w:p>
      <w:pPr>
        <w:spacing w:after="140"/>
      </w:pPr>
      <w:r>
        <w:rPr>
          <w:color w:val="1F2937"/>
          <w:sz w:val="20"/>
        </w:rPr>
        <w:t>Die maximale Gesamtmenge beträgt 21.000.000 CMPX. Für die weitere Projektplanung wird folgende Verteilung als Arbeitsmodell verwendet: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408"/>
        <w:gridCol w:w="3408"/>
        <w:gridCol w:w="3408"/>
      </w:tblGrid>
      <w:tr>
        <w:trPr>
          <w:tblHeader w:val="true"/>
        </w:trPr>
        <w:tc>
          <w:tcPr>
            <w:tcW w:type="dxa" w:w="4464"/>
            <w:shd w:fill="14213D"/>
            <w:vAlign w:val="center"/>
          </w:tcPr>
          <w:p>
            <w:pPr>
              <w:spacing w:after="0"/>
            </w:pPr>
            <w:r/>
            <w:r>
              <w:rPr>
                <w:b/>
                <w:color w:val="FFFFFF"/>
                <w:sz w:val="17"/>
              </w:rPr>
              <w:t>Bereich</w:t>
            </w:r>
          </w:p>
        </w:tc>
        <w:tc>
          <w:tcPr>
            <w:tcW w:type="dxa" w:w="1728"/>
            <w:shd w:fill="14213D"/>
            <w:vAlign w:val="center"/>
          </w:tcPr>
          <w:p>
            <w:pPr>
              <w:spacing w:after="0"/>
            </w:pPr>
            <w:r/>
            <w:r>
              <w:rPr>
                <w:b/>
                <w:color w:val="FFFFFF"/>
                <w:sz w:val="17"/>
              </w:rPr>
              <w:t>Anteil</w:t>
            </w:r>
          </w:p>
        </w:tc>
        <w:tc>
          <w:tcPr>
            <w:tcW w:type="dxa" w:w="3168"/>
            <w:shd w:fill="14213D"/>
            <w:vAlign w:val="center"/>
          </w:tcPr>
          <w:p>
            <w:pPr>
              <w:spacing w:after="0"/>
            </w:pPr>
            <w:r/>
            <w:r>
              <w:rPr>
                <w:b/>
                <w:color w:val="FFFFFF"/>
                <w:sz w:val="17"/>
              </w:rPr>
              <w:t>Menge</w:t>
            </w:r>
          </w:p>
        </w:tc>
      </w:tr>
      <w:tr>
        <w:tc>
          <w:tcPr>
            <w:tcW w:type="dxa" w:w="4464"/>
            <w:vAlign w:val="center"/>
          </w:tcPr>
          <w:p>
            <w:pPr>
              <w:spacing w:after="0"/>
            </w:pPr>
            <w:r/>
            <w:r>
              <w:rPr>
                <w:b/>
                <w:color w:val="1F2937"/>
                <w:sz w:val="16"/>
              </w:rPr>
              <w:t>Community / Rewards</w:t>
            </w:r>
          </w:p>
        </w:tc>
        <w:tc>
          <w:tcPr>
            <w:tcW w:type="dxa" w:w="1728"/>
            <w:vAlign w:val="center"/>
          </w:tcPr>
          <w:p>
            <w:pPr>
              <w:spacing w:after="0"/>
            </w:pPr>
            <w:r/>
            <w:r>
              <w:rPr>
                <w:b w:val="0"/>
                <w:color w:val="1F2937"/>
                <w:sz w:val="16"/>
              </w:rPr>
              <w:t>40 %</w:t>
            </w:r>
          </w:p>
        </w:tc>
        <w:tc>
          <w:tcPr>
            <w:tcW w:type="dxa" w:w="3168"/>
            <w:vAlign w:val="center"/>
          </w:tcPr>
          <w:p>
            <w:pPr>
              <w:spacing w:after="0"/>
            </w:pPr>
            <w:r/>
            <w:r>
              <w:rPr>
                <w:b w:val="0"/>
                <w:color w:val="1F2937"/>
                <w:sz w:val="16"/>
              </w:rPr>
              <w:t>8.400.000 CMPX</w:t>
            </w:r>
          </w:p>
        </w:tc>
      </w:tr>
      <w:tr>
        <w:tc>
          <w:tcPr>
            <w:tcW w:type="dxa" w:w="4464"/>
            <w:vAlign w:val="center"/>
          </w:tcPr>
          <w:p>
            <w:pPr>
              <w:spacing w:after="0"/>
            </w:pPr>
            <w:r/>
            <w:r>
              <w:rPr>
                <w:b/>
                <w:color w:val="1F2937"/>
                <w:sz w:val="16"/>
              </w:rPr>
              <w:t>Ecosystem / Development</w:t>
            </w:r>
          </w:p>
        </w:tc>
        <w:tc>
          <w:tcPr>
            <w:tcW w:type="dxa" w:w="1728"/>
            <w:vAlign w:val="center"/>
          </w:tcPr>
          <w:p>
            <w:pPr>
              <w:spacing w:after="0"/>
            </w:pPr>
            <w:r/>
            <w:r>
              <w:rPr>
                <w:b w:val="0"/>
                <w:color w:val="1F2937"/>
                <w:sz w:val="16"/>
              </w:rPr>
              <w:t>25 %</w:t>
            </w:r>
          </w:p>
        </w:tc>
        <w:tc>
          <w:tcPr>
            <w:tcW w:type="dxa" w:w="3168"/>
            <w:vAlign w:val="center"/>
          </w:tcPr>
          <w:p>
            <w:pPr>
              <w:spacing w:after="0"/>
            </w:pPr>
            <w:r/>
            <w:r>
              <w:rPr>
                <w:b w:val="0"/>
                <w:color w:val="1F2937"/>
                <w:sz w:val="16"/>
              </w:rPr>
              <w:t>5.250.000 CMPX</w:t>
            </w:r>
          </w:p>
        </w:tc>
      </w:tr>
      <w:tr>
        <w:tc>
          <w:tcPr>
            <w:tcW w:type="dxa" w:w="4464"/>
            <w:vAlign w:val="center"/>
          </w:tcPr>
          <w:p>
            <w:pPr>
              <w:spacing w:after="0"/>
            </w:pPr>
            <w:r/>
            <w:r>
              <w:rPr>
                <w:b/>
                <w:color w:val="1F2937"/>
                <w:sz w:val="16"/>
              </w:rPr>
              <w:t>Treasury</w:t>
            </w:r>
          </w:p>
        </w:tc>
        <w:tc>
          <w:tcPr>
            <w:tcW w:type="dxa" w:w="1728"/>
            <w:vAlign w:val="center"/>
          </w:tcPr>
          <w:p>
            <w:pPr>
              <w:spacing w:after="0"/>
            </w:pPr>
            <w:r/>
            <w:r>
              <w:rPr>
                <w:b w:val="0"/>
                <w:color w:val="1F2937"/>
                <w:sz w:val="16"/>
              </w:rPr>
              <w:t>20 %</w:t>
            </w:r>
          </w:p>
        </w:tc>
        <w:tc>
          <w:tcPr>
            <w:tcW w:type="dxa" w:w="3168"/>
            <w:vAlign w:val="center"/>
          </w:tcPr>
          <w:p>
            <w:pPr>
              <w:spacing w:after="0"/>
            </w:pPr>
            <w:r/>
            <w:r>
              <w:rPr>
                <w:b w:val="0"/>
                <w:color w:val="1F2937"/>
                <w:sz w:val="16"/>
              </w:rPr>
              <w:t>4.200.000 CMPX</w:t>
            </w:r>
          </w:p>
        </w:tc>
      </w:tr>
      <w:tr>
        <w:tc>
          <w:tcPr>
            <w:tcW w:type="dxa" w:w="4464"/>
            <w:vAlign w:val="center"/>
          </w:tcPr>
          <w:p>
            <w:pPr>
              <w:spacing w:after="0"/>
            </w:pPr>
            <w:r/>
            <w:r>
              <w:rPr>
                <w:b/>
                <w:color w:val="1F2937"/>
                <w:sz w:val="16"/>
              </w:rPr>
              <w:t>Liquidity Reserve</w:t>
            </w:r>
          </w:p>
        </w:tc>
        <w:tc>
          <w:tcPr>
            <w:tcW w:type="dxa" w:w="1728"/>
            <w:vAlign w:val="center"/>
          </w:tcPr>
          <w:p>
            <w:pPr>
              <w:spacing w:after="0"/>
            </w:pPr>
            <w:r/>
            <w:r>
              <w:rPr>
                <w:b w:val="0"/>
                <w:color w:val="1F2937"/>
                <w:sz w:val="16"/>
              </w:rPr>
              <w:t>10 %</w:t>
            </w:r>
          </w:p>
        </w:tc>
        <w:tc>
          <w:tcPr>
            <w:tcW w:type="dxa" w:w="3168"/>
            <w:vAlign w:val="center"/>
          </w:tcPr>
          <w:p>
            <w:pPr>
              <w:spacing w:after="0"/>
            </w:pPr>
            <w:r/>
            <w:r>
              <w:rPr>
                <w:b w:val="0"/>
                <w:color w:val="1F2937"/>
                <w:sz w:val="16"/>
              </w:rPr>
              <w:t>2.100.000 CMPX</w:t>
            </w:r>
          </w:p>
        </w:tc>
      </w:tr>
      <w:tr>
        <w:tc>
          <w:tcPr>
            <w:tcW w:type="dxa" w:w="4464"/>
            <w:vAlign w:val="center"/>
          </w:tcPr>
          <w:p>
            <w:pPr>
              <w:spacing w:after="0"/>
            </w:pPr>
            <w:r/>
            <w:r>
              <w:rPr>
                <w:b/>
                <w:color w:val="1F2937"/>
                <w:sz w:val="16"/>
              </w:rPr>
              <w:t>Early Supporter / Airdrop</w:t>
            </w:r>
          </w:p>
        </w:tc>
        <w:tc>
          <w:tcPr>
            <w:tcW w:type="dxa" w:w="1728"/>
            <w:vAlign w:val="center"/>
          </w:tcPr>
          <w:p>
            <w:pPr>
              <w:spacing w:after="0"/>
            </w:pPr>
            <w:r/>
            <w:r>
              <w:rPr>
                <w:b w:val="0"/>
                <w:color w:val="1F2937"/>
                <w:sz w:val="16"/>
              </w:rPr>
              <w:t>5 %</w:t>
            </w:r>
          </w:p>
        </w:tc>
        <w:tc>
          <w:tcPr>
            <w:tcW w:type="dxa" w:w="3168"/>
            <w:vAlign w:val="center"/>
          </w:tcPr>
          <w:p>
            <w:pPr>
              <w:spacing w:after="0"/>
            </w:pPr>
            <w:r/>
            <w:r>
              <w:rPr>
                <w:b w:val="0"/>
                <w:color w:val="1F2937"/>
                <w:sz w:val="16"/>
              </w:rPr>
              <w:t>1.050.000 CMPX</w:t>
            </w:r>
          </w:p>
        </w:tc>
      </w:tr>
    </w:tbl>
    <w:p>
      <w:pPr>
        <w:spacing w:after="40"/>
      </w:pPr>
    </w:p>
    <w:p>
      <w:pPr>
        <w:spacing w:after="140"/>
      </w:pPr>
      <w:r>
        <w:rPr>
          <w:color w:val="1F2937"/>
          <w:sz w:val="20"/>
        </w:rPr>
        <w:t>Diese Verteilung ist für die Testnet- und Konzeptphase vorgesehen. Vor einem möglichen Mainnet-Start müssen technische, rechtliche, steuerliche und organisatorische Fragen geprüft werden.</w:t>
      </w:r>
    </w:p>
    <w:p>
      <w:pPr>
        <w:pStyle w:val="Heading1"/>
        <w:spacing w:before="320" w:after="120"/>
      </w:pPr>
      <w:r>
        <w:rPr>
          <w:color w:val="142846"/>
          <w:sz w:val="34"/>
        </w:rPr>
        <w:t>6. CompileX Pay Demo</w:t>
      </w:r>
    </w:p>
    <w:p>
      <w:pPr>
        <w:spacing w:after="140"/>
      </w:pPr>
      <w:r>
        <w:rPr>
          <w:color w:val="1F2937"/>
          <w:sz w:val="20"/>
        </w:rPr>
        <w:t>CompileX Pay ist eine Testnet-Demo für einfache CMPX-Zahlungen. Die Demo ist unter /pay.html erreichbar und nutzt den verifizierten CMPX-Contract auf Sepolia.</w:t>
      </w:r>
    </w:p>
    <w:p>
      <w:pPr>
        <w:pStyle w:val="Heading2"/>
        <w:spacing w:before="200" w:after="80"/>
      </w:pPr>
      <w:r>
        <w:rPr>
          <w:color w:val="283C5A"/>
          <w:sz w:val="26"/>
        </w:rPr>
        <w:t>6.1 Ziele der Demo</w:t>
      </w:r>
    </w:p>
    <w:p>
      <w:pPr>
        <w:spacing w:after="140"/>
      </w:pPr>
      <w:r>
        <w:rPr>
          <w:color w:val="1F2937"/>
          <w:sz w:val="20"/>
        </w:rPr>
        <w:t>Die Pay Demo soll zeigen, dass CMPX technisch für einfache Zahlungen nutzbar ist:</w:t>
      </w:r>
    </w:p>
    <w:p>
      <w:pPr>
        <w:pStyle w:val="ListBullet"/>
        <w:spacing w:after="60"/>
      </w:pPr>
      <w:r>
        <w:rPr>
          <w:color w:val="1F2937"/>
          <w:sz w:val="20"/>
        </w:rPr>
        <w:t>Wallet verbinden</w:t>
      </w:r>
    </w:p>
    <w:p>
      <w:pPr>
        <w:pStyle w:val="ListBullet"/>
        <w:spacing w:after="60"/>
      </w:pPr>
      <w:r>
        <w:rPr>
          <w:color w:val="1F2937"/>
          <w:sz w:val="20"/>
        </w:rPr>
        <w:t>CMPX zu MetaMask hinzufügen</w:t>
      </w:r>
    </w:p>
    <w:p>
      <w:pPr>
        <w:pStyle w:val="ListBullet"/>
        <w:spacing w:after="60"/>
      </w:pPr>
      <w:r>
        <w:rPr>
          <w:color w:val="1F2937"/>
          <w:sz w:val="20"/>
        </w:rPr>
        <w:t>Empfängeradresse eintragen</w:t>
      </w:r>
    </w:p>
    <w:p>
      <w:pPr>
        <w:pStyle w:val="ListBullet"/>
        <w:spacing w:after="60"/>
      </w:pPr>
      <w:r>
        <w:rPr>
          <w:color w:val="1F2937"/>
          <w:sz w:val="20"/>
        </w:rPr>
        <w:t>CMPX-Betrag festlegen</w:t>
      </w:r>
    </w:p>
    <w:p>
      <w:pPr>
        <w:pStyle w:val="ListBullet"/>
        <w:spacing w:after="60"/>
      </w:pPr>
      <w:r>
        <w:rPr>
          <w:color w:val="1F2937"/>
          <w:sz w:val="20"/>
        </w:rPr>
        <w:t>Payment Request erzeugen</w:t>
      </w:r>
    </w:p>
    <w:p>
      <w:pPr>
        <w:pStyle w:val="ListBullet"/>
        <w:spacing w:after="60"/>
      </w:pPr>
      <w:r>
        <w:rPr>
          <w:color w:val="1F2937"/>
          <w:sz w:val="20"/>
        </w:rPr>
        <w:t>CMPX über MetaMask senden</w:t>
      </w:r>
    </w:p>
    <w:p>
      <w:pPr>
        <w:pStyle w:val="ListBullet"/>
        <w:spacing w:after="60"/>
      </w:pPr>
      <w:r>
        <w:rPr>
          <w:color w:val="1F2937"/>
          <w:sz w:val="20"/>
        </w:rPr>
        <w:t>Transaktionsstatus prüfen</w:t>
      </w:r>
    </w:p>
    <w:p>
      <w:pPr>
        <w:pStyle w:val="ListBullet"/>
        <w:spacing w:after="60"/>
      </w:pPr>
      <w:r>
        <w:rPr>
          <w:color w:val="1F2937"/>
          <w:sz w:val="20"/>
        </w:rPr>
        <w:t>Empfänger-Balance abfragen</w:t>
      </w:r>
    </w:p>
    <w:p>
      <w:pPr>
        <w:pStyle w:val="ListBullet"/>
        <w:spacing w:after="60"/>
      </w:pPr>
      <w:r>
        <w:rPr>
          <w:color w:val="1F2937"/>
          <w:sz w:val="20"/>
        </w:rPr>
        <w:t>Transaktion auf Sepolia Etherscan öffnen</w:t>
      </w:r>
    </w:p>
    <w:p>
      <w:pPr>
        <w:pStyle w:val="Heading2"/>
        <w:spacing w:before="200" w:after="80"/>
      </w:pPr>
      <w:r>
        <w:rPr>
          <w:color w:val="283C5A"/>
          <w:sz w:val="26"/>
        </w:rPr>
        <w:t>6.2 Voraussetzungen</w:t>
      </w:r>
    </w:p>
    <w:p>
      <w:pPr>
        <w:spacing w:after="140"/>
      </w:pPr>
      <w:r>
        <w:rPr>
          <w:color w:val="1F2937"/>
          <w:sz w:val="20"/>
        </w:rPr>
        <w:t>Der sendende Account benötigt CMPX für den Token-Transfer und SepoliaETH für die Netzwerkgebühr. Auch bei einem CMPX-Transfer wird Gas in SepoliaETH bezahlt. Wenn der sendende Account kein SepoliaETH besitzt, kann MetaMask die Transaktion nicht ausführen.</w:t>
      </w:r>
    </w:p>
    <w:p>
      <w:pPr>
        <w:pStyle w:val="Heading2"/>
        <w:spacing w:before="200" w:after="80"/>
      </w:pPr>
      <w:r>
        <w:rPr>
          <w:color w:val="283C5A"/>
          <w:sz w:val="26"/>
        </w:rPr>
        <w:t>6.3 Technischer Ablauf</w:t>
      </w:r>
    </w:p>
    <w:p>
      <w:pPr>
        <w:spacing w:after="140"/>
      </w:pPr>
      <w:r>
        <w:rPr>
          <w:color w:val="1F2937"/>
          <w:sz w:val="20"/>
        </w:rPr>
        <w:t>Die Pay Demo erzeugt eine ERC-20-Transfer-Interaktion mit dem CMPX-Contract. Beim Klick auf „CMPX senden“ wird MetaMask geöffnet und eine Transaktion an den CMPX-Contract vorbereitet. Die Transaktion nutzt die transfer(address,uint256)-Funktion des Tokens.</w:t>
      </w:r>
    </w:p>
    <w:p>
      <w:pPr>
        <w:spacing w:after="140"/>
      </w:pPr>
      <w:r>
        <w:rPr>
          <w:color w:val="1F2937"/>
          <w:sz w:val="20"/>
        </w:rPr>
        <w:t>Nach dem Senden wartet die Website auf eine Transaktionsbestätigung und zeigt anschließend den Status an. Zusätzlich kann die Empfänger-Balance per balanceOf(address) geprüft werden.</w:t>
      </w:r>
    </w:p>
    <w:p>
      <w:pPr>
        <w:pStyle w:val="Heading1"/>
        <w:spacing w:before="320" w:after="120"/>
      </w:pPr>
      <w:r>
        <w:rPr>
          <w:color w:val="142846"/>
          <w:sz w:val="34"/>
        </w:rPr>
        <w:t>7. CompileX Checkout Demo</w:t>
      </w:r>
    </w:p>
    <w:p>
      <w:pPr>
        <w:spacing w:after="140"/>
      </w:pPr>
      <w:r>
        <w:rPr>
          <w:color w:val="1F2937"/>
          <w:sz w:val="20"/>
        </w:rPr>
        <w:t>Die Checkout Demo ergänzt die Pay Demo um einen greifbaren Beispiel-Use-Case: den Developer Access Pass.</w:t>
      </w:r>
    </w:p>
    <w:p>
      <w:pPr>
        <w:spacing w:after="140"/>
      </w:pPr>
      <w:r>
        <w:rPr>
          <w:color w:val="1F2937"/>
          <w:sz w:val="20"/>
        </w:rPr>
        <w:t>Die Demo zeigt eine einfache Testnet-Kasse mit:</w:t>
      </w:r>
    </w:p>
    <w:p>
      <w:pPr>
        <w:pStyle w:val="ListBullet"/>
        <w:spacing w:after="60"/>
      </w:pPr>
      <w:r>
        <w:rPr>
          <w:color w:val="1F2937"/>
          <w:sz w:val="20"/>
        </w:rPr>
        <w:t>Beispielprodukt: Developer Access Pass</w:t>
      </w:r>
    </w:p>
    <w:p>
      <w:pPr>
        <w:pStyle w:val="ListBullet"/>
        <w:spacing w:after="60"/>
      </w:pPr>
      <w:r>
        <w:rPr>
          <w:color w:val="1F2937"/>
          <w:sz w:val="20"/>
        </w:rPr>
        <w:t>Preis: 25 CMPX</w:t>
      </w:r>
    </w:p>
    <w:p>
      <w:pPr>
        <w:pStyle w:val="ListBullet"/>
        <w:spacing w:after="60"/>
      </w:pPr>
      <w:r>
        <w:rPr>
          <w:color w:val="1F2937"/>
          <w:sz w:val="20"/>
        </w:rPr>
        <w:t>Demo-Händleradresse</w:t>
      </w:r>
    </w:p>
    <w:p>
      <w:pPr>
        <w:pStyle w:val="ListBullet"/>
        <w:spacing w:after="60"/>
      </w:pPr>
      <w:r>
        <w:rPr>
          <w:color w:val="1F2937"/>
          <w:sz w:val="20"/>
        </w:rPr>
        <w:t>Zahlungsbutton über MetaMask</w:t>
      </w:r>
    </w:p>
    <w:p>
      <w:pPr>
        <w:pStyle w:val="ListBullet"/>
        <w:spacing w:after="60"/>
      </w:pPr>
      <w:r>
        <w:rPr>
          <w:color w:val="1F2937"/>
          <w:sz w:val="20"/>
        </w:rPr>
        <w:t>Statusanzeige offen / wartet / bezahlt</w:t>
      </w:r>
    </w:p>
    <w:p>
      <w:pPr>
        <w:pStyle w:val="ListBullet"/>
        <w:spacing w:after="60"/>
      </w:pPr>
      <w:r>
        <w:rPr>
          <w:color w:val="1F2937"/>
          <w:sz w:val="20"/>
        </w:rPr>
        <w:t>Transaktionslink zu Sepolia Etherscan</w:t>
      </w:r>
    </w:p>
    <w:p>
      <w:pPr>
        <w:pStyle w:val="ListBullet"/>
        <w:spacing w:after="60"/>
      </w:pPr>
      <w:r>
        <w:rPr>
          <w:color w:val="1F2937"/>
          <w:sz w:val="20"/>
        </w:rPr>
        <w:t>Kopierfunktion für Contract- und Händleradresse</w:t>
      </w:r>
    </w:p>
    <w:p>
      <w:pPr>
        <w:spacing w:after="140"/>
      </w:pPr>
      <w:r>
        <w:rPr>
          <w:color w:val="1F2937"/>
          <w:sz w:val="20"/>
        </w:rPr>
        <w:t>Die Checkout Demo ist kein echter Verkauf und schaltet keinen realen Zugang frei. Sie zeigt nur, wie CMPX als technischer Zahlungs- oder Zugangstoken in einer späteren Anwendung verwendet werden könnte.</w:t>
      </w:r>
    </w:p>
    <w:p>
      <w:pPr>
        <w:pStyle w:val="Heading1"/>
        <w:spacing w:before="320" w:after="120"/>
      </w:pPr>
      <w:r>
        <w:rPr>
          <w:color w:val="142846"/>
          <w:sz w:val="34"/>
        </w:rPr>
        <w:t>8. Website, GitHub und Release-Stand</w:t>
      </w:r>
    </w:p>
    <w:p>
      <w:pPr>
        <w:spacing w:after="140"/>
      </w:pPr>
      <w:r>
        <w:rPr>
          <w:color w:val="1F2937"/>
          <w:sz w:val="20"/>
        </w:rPr>
        <w:t>Die CompileX-Website enthält aktuell Landingpage, Tokenomics, Litepaper v0.4, Rechtseiten, CompileX Pay, Pay Guide, Checkout Demo und Roadmap-Statusseite.</w:t>
      </w:r>
    </w:p>
    <w:p>
      <w:pPr>
        <w:spacing w:after="140"/>
      </w:pPr>
      <w:r>
        <w:rPr>
          <w:color w:val="1F2937"/>
          <w:sz w:val="20"/>
        </w:rPr>
        <w:t>Das öffentliche GitHub Repository enthält den Smart Contract, Tests, Deployment-Dokumentation, Tokenomics-Dokumentation, Pay-Demo-Dokumentation und Sicherheitsnotizen.</w:t>
      </w:r>
    </w:p>
    <w:p>
      <w:pPr>
        <w:spacing w:after="140"/>
      </w:pPr>
      <w:r>
        <w:rPr>
          <w:color w:val="1F2937"/>
          <w:sz w:val="20"/>
        </w:rPr>
        <w:t>Der erste öffentliche GitHub Release dokumentiert den Stand CompileX v0.1 - Sepolia Testnet Prototype.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12"/>
        <w:gridCol w:w="5112"/>
      </w:tblGrid>
      <w:tr>
        <w:trPr>
          <w:tblHeader w:val="true"/>
        </w:trPr>
        <w:tc>
          <w:tcPr>
            <w:tcW w:type="dxa" w:w="3024"/>
            <w:shd w:fill="14213D"/>
            <w:vAlign w:val="center"/>
          </w:tcPr>
          <w:p>
            <w:pPr>
              <w:spacing w:after="0"/>
            </w:pPr>
            <w:r/>
            <w:r>
              <w:rPr>
                <w:b/>
                <w:color w:val="FFFFFF"/>
                <w:sz w:val="17"/>
              </w:rPr>
              <w:t>Ressource</w:t>
            </w:r>
          </w:p>
        </w:tc>
        <w:tc>
          <w:tcPr>
            <w:tcW w:type="dxa" w:w="6768"/>
            <w:shd w:fill="14213D"/>
            <w:vAlign w:val="center"/>
          </w:tcPr>
          <w:p>
            <w:pPr>
              <w:spacing w:after="0"/>
            </w:pPr>
            <w:r/>
            <w:r>
              <w:rPr>
                <w:b/>
                <w:color w:val="FFFFFF"/>
                <w:sz w:val="17"/>
              </w:rPr>
              <w:t>Link</w:t>
            </w:r>
          </w:p>
        </w:tc>
      </w:tr>
      <w:tr>
        <w:tc>
          <w:tcPr>
            <w:tcW w:type="dxa" w:w="3024"/>
            <w:vAlign w:val="center"/>
          </w:tcPr>
          <w:p>
            <w:pPr>
              <w:spacing w:after="0"/>
            </w:pPr>
            <w:r/>
            <w:r>
              <w:rPr>
                <w:b/>
                <w:color w:val="1F2937"/>
                <w:sz w:val="16"/>
              </w:rPr>
              <w:t>Website</w:t>
            </w:r>
          </w:p>
        </w:tc>
        <w:tc>
          <w:tcPr>
            <w:tcW w:type="dxa" w:w="6768"/>
            <w:vAlign w:val="center"/>
          </w:tcPr>
          <w:p>
            <w:pPr>
              <w:spacing w:after="0"/>
            </w:pPr>
            <w:r/>
            <w:r>
              <w:rPr>
                <w:b w:val="0"/>
                <w:color w:val="1F2937"/>
                <w:sz w:val="16"/>
              </w:rPr>
              <w:t>https://compilex-token.dev</w:t>
            </w:r>
          </w:p>
        </w:tc>
      </w:tr>
      <w:tr>
        <w:tc>
          <w:tcPr>
            <w:tcW w:type="dxa" w:w="3024"/>
            <w:vAlign w:val="center"/>
          </w:tcPr>
          <w:p>
            <w:pPr>
              <w:spacing w:after="0"/>
            </w:pPr>
            <w:r/>
            <w:r>
              <w:rPr>
                <w:b/>
                <w:color w:val="1F2937"/>
                <w:sz w:val="16"/>
              </w:rPr>
              <w:t>GitHub Repository</w:t>
            </w:r>
          </w:p>
        </w:tc>
        <w:tc>
          <w:tcPr>
            <w:tcW w:type="dxa" w:w="6768"/>
            <w:vAlign w:val="center"/>
          </w:tcPr>
          <w:p>
            <w:pPr>
              <w:spacing w:after="0"/>
            </w:pPr>
            <w:r/>
            <w:r>
              <w:rPr>
                <w:b w:val="0"/>
                <w:color w:val="1F2937"/>
                <w:sz w:val="16"/>
              </w:rPr>
              <w:t>https://github.com/CompileX-Token/compilex-cmpx-token</w:t>
            </w:r>
          </w:p>
        </w:tc>
      </w:tr>
      <w:tr>
        <w:tc>
          <w:tcPr>
            <w:tcW w:type="dxa" w:w="3024"/>
            <w:vAlign w:val="center"/>
          </w:tcPr>
          <w:p>
            <w:pPr>
              <w:spacing w:after="0"/>
            </w:pPr>
            <w:r/>
            <w:r>
              <w:rPr>
                <w:b/>
                <w:color w:val="1F2937"/>
                <w:sz w:val="16"/>
              </w:rPr>
              <w:t>Release v0.1</w:t>
            </w:r>
          </w:p>
        </w:tc>
        <w:tc>
          <w:tcPr>
            <w:tcW w:type="dxa" w:w="6768"/>
            <w:vAlign w:val="center"/>
          </w:tcPr>
          <w:p>
            <w:pPr>
              <w:spacing w:after="0"/>
            </w:pPr>
            <w:r/>
            <w:r>
              <w:rPr>
                <w:b w:val="0"/>
                <w:color w:val="1F2937"/>
                <w:sz w:val="16"/>
              </w:rPr>
              <w:t>https://github.com/CompileX-Token/compilex-cmpx-token/releases/tag/v0.1.0</w:t>
            </w:r>
          </w:p>
        </w:tc>
      </w:tr>
      <w:tr>
        <w:tc>
          <w:tcPr>
            <w:tcW w:type="dxa" w:w="3024"/>
            <w:vAlign w:val="center"/>
          </w:tcPr>
          <w:p>
            <w:pPr>
              <w:spacing w:after="0"/>
            </w:pPr>
            <w:r/>
            <w:r>
              <w:rPr>
                <w:b/>
                <w:color w:val="1F2937"/>
                <w:sz w:val="16"/>
              </w:rPr>
              <w:t>Sepolia Token</w:t>
            </w:r>
          </w:p>
        </w:tc>
        <w:tc>
          <w:tcPr>
            <w:tcW w:type="dxa" w:w="6768"/>
            <w:vAlign w:val="center"/>
          </w:tcPr>
          <w:p>
            <w:pPr>
              <w:spacing w:after="0"/>
            </w:pPr>
            <w:r/>
            <w:r>
              <w:rPr>
                <w:b w:val="0"/>
                <w:color w:val="1F2937"/>
                <w:sz w:val="16"/>
              </w:rPr>
              <w:t>https://sepolia.etherscan.io/token/0xa1A09ba7357c5187d90E1De160bFd868151f3D8C</w:t>
            </w:r>
          </w:p>
        </w:tc>
      </w:tr>
      <w:tr>
        <w:tc>
          <w:tcPr>
            <w:tcW w:type="dxa" w:w="3024"/>
            <w:vAlign w:val="center"/>
          </w:tcPr>
          <w:p>
            <w:pPr>
              <w:spacing w:after="0"/>
            </w:pPr>
            <w:r/>
            <w:r>
              <w:rPr>
                <w:b/>
                <w:color w:val="1F2937"/>
                <w:sz w:val="16"/>
              </w:rPr>
              <w:t>Verified Contract Code</w:t>
            </w:r>
          </w:p>
        </w:tc>
        <w:tc>
          <w:tcPr>
            <w:tcW w:type="dxa" w:w="6768"/>
            <w:vAlign w:val="center"/>
          </w:tcPr>
          <w:p>
            <w:pPr>
              <w:spacing w:after="0"/>
            </w:pPr>
            <w:r/>
            <w:r>
              <w:rPr>
                <w:b w:val="0"/>
                <w:color w:val="1F2937"/>
                <w:sz w:val="16"/>
              </w:rPr>
              <w:t>https://sepolia.etherscan.io/address/0xa1A09ba7357c5187d90E1De160bFd868151f3D8C#code</w:t>
            </w:r>
          </w:p>
        </w:tc>
      </w:tr>
    </w:tbl>
    <w:p>
      <w:pPr>
        <w:spacing w:after="40"/>
      </w:pPr>
    </w:p>
    <w:p>
      <w:pPr>
        <w:pStyle w:val="Heading1"/>
        <w:spacing w:before="320" w:after="120"/>
      </w:pPr>
      <w:r>
        <w:rPr>
          <w:color w:val="142846"/>
          <w:sz w:val="34"/>
        </w:rPr>
        <w:t>9. Sicherheit und Mainnet-Readiness</w:t>
      </w:r>
    </w:p>
    <w:p>
      <w:pPr>
        <w:spacing w:after="140"/>
      </w:pPr>
      <w:r>
        <w:rPr>
          <w:color w:val="1F2937"/>
          <w:sz w:val="20"/>
        </w:rPr>
        <w:t>CompileX ist aktuell bewusst ein Testnet-Projekt. Ein Mainnet-Start sollte erst nach technischer, rechtlicher und organisatorischer Vorbereitung stattfinden.</w:t>
      </w:r>
    </w:p>
    <w:p>
      <w:pPr>
        <w:spacing w:after="140"/>
      </w:pPr>
      <w:r>
        <w:rPr>
          <w:color w:val="1F2937"/>
          <w:sz w:val="20"/>
        </w:rPr>
        <w:t>Vor einem möglichen Mainnet-Deployment sind mindestens diese Punkte offen:</w:t>
      </w:r>
    </w:p>
    <w:p>
      <w:pPr>
        <w:pStyle w:val="ListBullet"/>
        <w:spacing w:after="60"/>
      </w:pPr>
      <w:r>
        <w:rPr>
          <w:color w:val="1F2937"/>
          <w:sz w:val="20"/>
        </w:rPr>
        <w:t>erweiterte Tests</w:t>
      </w:r>
    </w:p>
    <w:p>
      <w:pPr>
        <w:pStyle w:val="ListBullet"/>
        <w:spacing w:after="60"/>
      </w:pPr>
      <w:r>
        <w:rPr>
          <w:color w:val="1F2937"/>
          <w:sz w:val="20"/>
        </w:rPr>
        <w:t>statische Analyse</w:t>
      </w:r>
    </w:p>
    <w:p>
      <w:pPr>
        <w:pStyle w:val="ListBullet"/>
        <w:spacing w:after="60"/>
      </w:pPr>
      <w:r>
        <w:rPr>
          <w:color w:val="1F2937"/>
          <w:sz w:val="20"/>
        </w:rPr>
        <w:t>externer Smart-Contract-Review</w:t>
      </w:r>
    </w:p>
    <w:p>
      <w:pPr>
        <w:pStyle w:val="ListBullet"/>
        <w:spacing w:after="60"/>
      </w:pPr>
      <w:r>
        <w:rPr>
          <w:color w:val="1F2937"/>
          <w:sz w:val="20"/>
        </w:rPr>
        <w:t>Prüfung der Tokenomics und Wallet-Struktur</w:t>
      </w:r>
    </w:p>
    <w:p>
      <w:pPr>
        <w:pStyle w:val="ListBullet"/>
        <w:spacing w:after="60"/>
      </w:pPr>
      <w:r>
        <w:rPr>
          <w:color w:val="1F2937"/>
          <w:sz w:val="20"/>
        </w:rPr>
        <w:t>Treasury- und Multisig-Konzept</w:t>
      </w:r>
    </w:p>
    <w:p>
      <w:pPr>
        <w:pStyle w:val="ListBullet"/>
        <w:spacing w:after="60"/>
      </w:pPr>
      <w:r>
        <w:rPr>
          <w:color w:val="1F2937"/>
          <w:sz w:val="20"/>
        </w:rPr>
        <w:t>rechtliche und steuerliche Prüfung</w:t>
      </w:r>
    </w:p>
    <w:p>
      <w:pPr>
        <w:pStyle w:val="ListBullet"/>
        <w:spacing w:after="60"/>
      </w:pPr>
      <w:r>
        <w:rPr>
          <w:color w:val="1F2937"/>
          <w:sz w:val="20"/>
        </w:rPr>
        <w:t>finale Risikokommunikation</w:t>
      </w:r>
    </w:p>
    <w:p>
      <w:pPr>
        <w:pStyle w:val="ListBullet"/>
        <w:spacing w:after="60"/>
      </w:pPr>
      <w:r>
        <w:rPr>
          <w:color w:val="1F2937"/>
          <w:sz w:val="20"/>
        </w:rPr>
        <w:t>finaler Launch-Plan</w:t>
      </w:r>
    </w:p>
    <w:p>
      <w:pPr>
        <w:spacing w:after="140"/>
      </w:pPr>
      <w:r>
        <w:rPr>
          <w:color w:val="1F2937"/>
          <w:sz w:val="20"/>
        </w:rPr>
        <w:t>Private Keys, Seed-Phrases und .env-Dateien dürfen niemals veröffentlicht oder geteilt werden.</w:t>
      </w:r>
    </w:p>
    <w:p>
      <w:pPr>
        <w:pStyle w:val="Heading1"/>
        <w:spacing w:before="320" w:after="120"/>
      </w:pPr>
      <w:r>
        <w:rPr>
          <w:color w:val="142846"/>
          <w:sz w:val="34"/>
        </w:rPr>
        <w:t>10. Roadmap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408"/>
        <w:gridCol w:w="3408"/>
        <w:gridCol w:w="3408"/>
      </w:tblGrid>
      <w:tr>
        <w:trPr>
          <w:tblHeader w:val="true"/>
        </w:trPr>
        <w:tc>
          <w:tcPr>
            <w:tcW w:type="dxa" w:w="2880"/>
            <w:shd w:fill="14213D"/>
            <w:vAlign w:val="center"/>
          </w:tcPr>
          <w:p>
            <w:pPr>
              <w:spacing w:after="0"/>
            </w:pPr>
            <w:r/>
            <w:r>
              <w:rPr>
                <w:b/>
                <w:color w:val="FFFFFF"/>
                <w:sz w:val="17"/>
              </w:rPr>
              <w:t>Phase</w:t>
            </w:r>
          </w:p>
        </w:tc>
        <w:tc>
          <w:tcPr>
            <w:tcW w:type="dxa" w:w="5328"/>
            <w:shd w:fill="14213D"/>
            <w:vAlign w:val="center"/>
          </w:tcPr>
          <w:p>
            <w:pPr>
              <w:spacing w:after="0"/>
            </w:pPr>
            <w:r/>
            <w:r>
              <w:rPr>
                <w:b/>
                <w:color w:val="FFFFFF"/>
                <w:sz w:val="17"/>
              </w:rPr>
              <w:t>Beschreibung</w:t>
            </w:r>
          </w:p>
        </w:tc>
        <w:tc>
          <w:tcPr>
            <w:tcW w:type="dxa" w:w="1728"/>
            <w:shd w:fill="14213D"/>
            <w:vAlign w:val="center"/>
          </w:tcPr>
          <w:p>
            <w:pPr>
              <w:spacing w:after="0"/>
            </w:pPr>
            <w:r/>
            <w:r>
              <w:rPr>
                <w:b/>
                <w:color w:val="FFFFFF"/>
                <w:sz w:val="17"/>
              </w:rPr>
              <w:t>Status</w:t>
            </w:r>
          </w:p>
        </w:tc>
      </w:tr>
      <w:tr>
        <w:tc>
          <w:tcPr>
            <w:tcW w:type="dxa" w:w="2880"/>
            <w:vAlign w:val="center"/>
          </w:tcPr>
          <w:p>
            <w:pPr>
              <w:spacing w:after="0"/>
            </w:pPr>
            <w:r/>
            <w:r>
              <w:rPr>
                <w:b/>
                <w:color w:val="1F2937"/>
                <w:sz w:val="16"/>
              </w:rPr>
              <w:t>Phase 1 - Prototyp</w:t>
            </w:r>
          </w:p>
        </w:tc>
        <w:tc>
          <w:tcPr>
            <w:tcW w:type="dxa" w:w="5328"/>
            <w:vAlign w:val="center"/>
          </w:tcPr>
          <w:p>
            <w:pPr>
              <w:spacing w:after="0"/>
            </w:pPr>
            <w:r/>
            <w:r>
              <w:rPr>
                <w:b w:val="0"/>
                <w:color w:val="1F2937"/>
                <w:sz w:val="16"/>
              </w:rPr>
              <w:t>Contract, Tests, Sepolia-Deployment und Contract-Verifizierung</w:t>
            </w:r>
          </w:p>
        </w:tc>
        <w:tc>
          <w:tcPr>
            <w:tcW w:type="dxa" w:w="1728"/>
            <w:vAlign w:val="center"/>
          </w:tcPr>
          <w:p>
            <w:pPr>
              <w:spacing w:after="0"/>
            </w:pPr>
            <w:r/>
            <w:r>
              <w:rPr>
                <w:b w:val="0"/>
                <w:color w:val="1F2937"/>
                <w:sz w:val="16"/>
              </w:rPr>
              <w:t>abgeschlossen</w:t>
            </w:r>
          </w:p>
        </w:tc>
      </w:tr>
      <w:tr>
        <w:tc>
          <w:tcPr>
            <w:tcW w:type="dxa" w:w="2880"/>
            <w:vAlign w:val="center"/>
          </w:tcPr>
          <w:p>
            <w:pPr>
              <w:spacing w:after="0"/>
            </w:pPr>
            <w:r/>
            <w:r>
              <w:rPr>
                <w:b/>
                <w:color w:val="1F2937"/>
                <w:sz w:val="16"/>
              </w:rPr>
              <w:t>Phase 2 - Website und Dokumentation</w:t>
            </w:r>
          </w:p>
        </w:tc>
        <w:tc>
          <w:tcPr>
            <w:tcW w:type="dxa" w:w="5328"/>
            <w:vAlign w:val="center"/>
          </w:tcPr>
          <w:p>
            <w:pPr>
              <w:spacing w:after="0"/>
            </w:pPr>
            <w:r/>
            <w:r>
              <w:rPr>
                <w:b w:val="0"/>
                <w:color w:val="1F2937"/>
                <w:sz w:val="16"/>
              </w:rPr>
              <w:t>Landingpage, Litepaper, Tokenomics, Rechtseiten und technische Dokumentation</w:t>
            </w:r>
          </w:p>
        </w:tc>
        <w:tc>
          <w:tcPr>
            <w:tcW w:type="dxa" w:w="1728"/>
            <w:vAlign w:val="center"/>
          </w:tcPr>
          <w:p>
            <w:pPr>
              <w:spacing w:after="0"/>
            </w:pPr>
            <w:r/>
            <w:r>
              <w:rPr>
                <w:b w:val="0"/>
                <w:color w:val="1F2937"/>
                <w:sz w:val="16"/>
              </w:rPr>
              <w:t>abgeschlossen</w:t>
            </w:r>
          </w:p>
        </w:tc>
      </w:tr>
      <w:tr>
        <w:tc>
          <w:tcPr>
            <w:tcW w:type="dxa" w:w="2880"/>
            <w:vAlign w:val="center"/>
          </w:tcPr>
          <w:p>
            <w:pPr>
              <w:spacing w:after="0"/>
            </w:pPr>
            <w:r/>
            <w:r>
              <w:rPr>
                <w:b/>
                <w:color w:val="1F2937"/>
                <w:sz w:val="16"/>
              </w:rPr>
              <w:t>Phase 3 - Pay und Checkout</w:t>
            </w:r>
          </w:p>
        </w:tc>
        <w:tc>
          <w:tcPr>
            <w:tcW w:type="dxa" w:w="5328"/>
            <w:vAlign w:val="center"/>
          </w:tcPr>
          <w:p>
            <w:pPr>
              <w:spacing w:after="0"/>
            </w:pPr>
            <w:r/>
            <w:r>
              <w:rPr>
                <w:b w:val="0"/>
                <w:color w:val="1F2937"/>
                <w:sz w:val="16"/>
              </w:rPr>
              <w:t>Testnet-Zahlungen mit CMPX, Statusprüfung, Pay Guide und Checkout Demo</w:t>
            </w:r>
          </w:p>
        </w:tc>
        <w:tc>
          <w:tcPr>
            <w:tcW w:type="dxa" w:w="1728"/>
            <w:vAlign w:val="center"/>
          </w:tcPr>
          <w:p>
            <w:pPr>
              <w:spacing w:after="0"/>
            </w:pPr>
            <w:r/>
            <w:r>
              <w:rPr>
                <w:b w:val="0"/>
                <w:color w:val="1F2937"/>
                <w:sz w:val="16"/>
              </w:rPr>
              <w:t>abgeschlossen</w:t>
            </w:r>
          </w:p>
        </w:tc>
      </w:tr>
      <w:tr>
        <w:tc>
          <w:tcPr>
            <w:tcW w:type="dxa" w:w="2880"/>
            <w:vAlign w:val="center"/>
          </w:tcPr>
          <w:p>
            <w:pPr>
              <w:spacing w:after="0"/>
            </w:pPr>
            <w:r/>
            <w:r>
              <w:rPr>
                <w:b/>
                <w:color w:val="1F2937"/>
                <w:sz w:val="16"/>
              </w:rPr>
              <w:t>Phase 4 - GitHub Release</w:t>
            </w:r>
          </w:p>
        </w:tc>
        <w:tc>
          <w:tcPr>
            <w:tcW w:type="dxa" w:w="5328"/>
            <w:vAlign w:val="center"/>
          </w:tcPr>
          <w:p>
            <w:pPr>
              <w:spacing w:after="0"/>
            </w:pPr>
            <w:r/>
            <w:r>
              <w:rPr>
                <w:b w:val="0"/>
                <w:color w:val="1F2937"/>
                <w:sz w:val="16"/>
              </w:rPr>
              <w:t>Öffentliches GitHub Repository, GitHub Actions, Roadmap-Seite und Release v0.1</w:t>
            </w:r>
          </w:p>
        </w:tc>
        <w:tc>
          <w:tcPr>
            <w:tcW w:type="dxa" w:w="1728"/>
            <w:vAlign w:val="center"/>
          </w:tcPr>
          <w:p>
            <w:pPr>
              <w:spacing w:after="0"/>
            </w:pPr>
            <w:r/>
            <w:r>
              <w:rPr>
                <w:b w:val="0"/>
                <w:color w:val="1F2937"/>
                <w:sz w:val="16"/>
              </w:rPr>
              <w:t>abgeschlossen</w:t>
            </w:r>
          </w:p>
        </w:tc>
      </w:tr>
      <w:tr>
        <w:tc>
          <w:tcPr>
            <w:tcW w:type="dxa" w:w="2880"/>
            <w:vAlign w:val="center"/>
          </w:tcPr>
          <w:p>
            <w:pPr>
              <w:spacing w:after="0"/>
            </w:pPr>
            <w:r/>
            <w:r>
              <w:rPr>
                <w:b/>
                <w:color w:val="1F2937"/>
                <w:sz w:val="16"/>
              </w:rPr>
              <w:t>Phase 5 - Security Review Vorbereitung</w:t>
            </w:r>
          </w:p>
        </w:tc>
        <w:tc>
          <w:tcPr>
            <w:tcW w:type="dxa" w:w="5328"/>
            <w:vAlign w:val="center"/>
          </w:tcPr>
          <w:p>
            <w:pPr>
              <w:spacing w:after="0"/>
            </w:pPr>
            <w:r/>
            <w:r>
              <w:rPr>
                <w:b w:val="0"/>
                <w:color w:val="1F2937"/>
                <w:sz w:val="16"/>
              </w:rPr>
              <w:t>Erweiterte Tests, Security-Checklist, Review-Dokumentation und externe Rückmeldung</w:t>
            </w:r>
          </w:p>
        </w:tc>
        <w:tc>
          <w:tcPr>
            <w:tcW w:type="dxa" w:w="1728"/>
            <w:vAlign w:val="center"/>
          </w:tcPr>
          <w:p>
            <w:pPr>
              <w:spacing w:after="0"/>
            </w:pPr>
            <w:r/>
            <w:r>
              <w:rPr>
                <w:b w:val="0"/>
                <w:color w:val="1F2937"/>
                <w:sz w:val="16"/>
              </w:rPr>
              <w:t>nächster Schritt</w:t>
            </w:r>
          </w:p>
        </w:tc>
      </w:tr>
      <w:tr>
        <w:tc>
          <w:tcPr>
            <w:tcW w:type="dxa" w:w="2880"/>
            <w:vAlign w:val="center"/>
          </w:tcPr>
          <w:p>
            <w:pPr>
              <w:spacing w:after="0"/>
            </w:pPr>
            <w:r/>
            <w:r>
              <w:rPr>
                <w:b/>
                <w:color w:val="1F2937"/>
                <w:sz w:val="16"/>
              </w:rPr>
              <w:t>Phase 6 - Developer Utility Prototyp</w:t>
            </w:r>
          </w:p>
        </w:tc>
        <w:tc>
          <w:tcPr>
            <w:tcW w:type="dxa" w:w="5328"/>
            <w:vAlign w:val="center"/>
          </w:tcPr>
          <w:p>
            <w:pPr>
              <w:spacing w:after="0"/>
            </w:pPr>
            <w:r/>
            <w:r>
              <w:rPr>
                <w:b w:val="0"/>
                <w:color w:val="1F2937"/>
                <w:sz w:val="16"/>
              </w:rPr>
              <w:t>Weitere Beispiel-Use-Cases wie API-Credits, Tool-Zugang, Templates oder Community-Rewards</w:t>
            </w:r>
          </w:p>
        </w:tc>
        <w:tc>
          <w:tcPr>
            <w:tcW w:type="dxa" w:w="1728"/>
            <w:vAlign w:val="center"/>
          </w:tcPr>
          <w:p>
            <w:pPr>
              <w:spacing w:after="0"/>
            </w:pPr>
            <w:r/>
            <w:r>
              <w:rPr>
                <w:b w:val="0"/>
                <w:color w:val="1F2937"/>
                <w:sz w:val="16"/>
              </w:rPr>
              <w:t>geplant</w:t>
            </w:r>
          </w:p>
        </w:tc>
      </w:tr>
      <w:tr>
        <w:tc>
          <w:tcPr>
            <w:tcW w:type="dxa" w:w="2880"/>
            <w:vAlign w:val="center"/>
          </w:tcPr>
          <w:p>
            <w:pPr>
              <w:spacing w:after="0"/>
            </w:pPr>
            <w:r/>
            <w:r>
              <w:rPr>
                <w:b/>
                <w:color w:val="1F2937"/>
                <w:sz w:val="16"/>
              </w:rPr>
              <w:t>Phase 7 - Mainnet-Entscheidung</w:t>
            </w:r>
          </w:p>
        </w:tc>
        <w:tc>
          <w:tcPr>
            <w:tcW w:type="dxa" w:w="5328"/>
            <w:vAlign w:val="center"/>
          </w:tcPr>
          <w:p>
            <w:pPr>
              <w:spacing w:after="0"/>
            </w:pPr>
            <w:r/>
            <w:r>
              <w:rPr>
                <w:b w:val="0"/>
                <w:color w:val="1F2937"/>
                <w:sz w:val="16"/>
              </w:rPr>
              <w:t>Erst nach Audit, rechtlicher Prüfung, klarer Projektstruktur und finaler Dokumentation</w:t>
            </w:r>
          </w:p>
        </w:tc>
        <w:tc>
          <w:tcPr>
            <w:tcW w:type="dxa" w:w="1728"/>
            <w:vAlign w:val="center"/>
          </w:tcPr>
          <w:p>
            <w:pPr>
              <w:spacing w:after="0"/>
            </w:pPr>
            <w:r/>
            <w:r>
              <w:rPr>
                <w:b w:val="0"/>
                <w:color w:val="1F2937"/>
                <w:sz w:val="16"/>
              </w:rPr>
              <w:t>nicht gestartet</w:t>
            </w:r>
          </w:p>
        </w:tc>
      </w:tr>
    </w:tbl>
    <w:p>
      <w:pPr>
        <w:spacing w:after="40"/>
      </w:pPr>
    </w:p>
    <w:p>
      <w:pPr>
        <w:pStyle w:val="Heading1"/>
        <w:spacing w:before="320" w:after="120"/>
      </w:pPr>
      <w:r>
        <w:rPr>
          <w:color w:val="142846"/>
          <w:sz w:val="34"/>
        </w:rPr>
        <w:t>11. Risiken und Hinweise</w:t>
      </w:r>
    </w:p>
    <w:p>
      <w:pPr>
        <w:spacing w:after="140"/>
      </w:pPr>
      <w:r>
        <w:rPr>
          <w:color w:val="1F2937"/>
          <w:sz w:val="20"/>
        </w:rPr>
        <w:t>CompileX befindet sich in einer frühen experimentellen Phase. Testnet-Token haben keinen zugesicherten wirtschaftlichen Wert. Es gibt keine Gewinnversprechen, keine Anlageberatung und kein öffentliches Verkaufsangebot.</w:t>
      </w:r>
    </w:p>
    <w:p>
      <w:pPr>
        <w:spacing w:after="140"/>
      </w:pPr>
      <w:r>
        <w:rPr>
          <w:color w:val="1F2937"/>
          <w:sz w:val="20"/>
        </w:rPr>
        <w:t>Blockchain-Interaktionen können technische Risiken enthalten. Nutzer sind selbst für ihre Wallets, privaten Schlüssel und Seed-Phrases verantwortlich. Private Schlüssel oder Seed-Phrases werden von CompileX niemals benötigt.</w:t>
      </w:r>
    </w:p>
    <w:p>
      <w:pPr>
        <w:spacing w:after="140"/>
      </w:pPr>
      <w:r>
        <w:rPr>
          <w:color w:val="1F2937"/>
          <w:sz w:val="20"/>
        </w:rPr>
        <w:t>Die Pay Demo und Checkout Demo verwenden Testnet-Transaktionen. Sie sind keine Zahlungsforderung, kein Shop-System mit realer Ware und keine rechtliche Abrechnung.</w:t>
      </w:r>
    </w:p>
    <w:p>
      <w:pPr>
        <w:pStyle w:val="Heading1"/>
        <w:spacing w:before="320" w:after="120"/>
      </w:pPr>
      <w:r>
        <w:rPr>
          <w:color w:val="142846"/>
          <w:sz w:val="34"/>
        </w:rPr>
        <w:t>12. Nächste empfohlene Schritte</w:t>
      </w:r>
    </w:p>
    <w:p>
      <w:pPr>
        <w:pStyle w:val="ListNumber"/>
        <w:spacing w:after="60"/>
      </w:pPr>
      <w:r>
        <w:rPr>
          <w:color w:val="1F2937"/>
          <w:sz w:val="20"/>
        </w:rPr>
        <w:t>Litepaper v0.4 auf Website und GitHub veröffentlichen.</w:t>
      </w:r>
    </w:p>
    <w:p>
      <w:pPr>
        <w:pStyle w:val="ListNumber"/>
        <w:spacing w:after="60"/>
      </w:pPr>
      <w:r>
        <w:rPr>
          <w:color w:val="1F2937"/>
          <w:sz w:val="20"/>
        </w:rPr>
        <w:t>GitHub Release-Notizen mit dem neuen Dokumentationsstand verknüpfen.</w:t>
      </w:r>
    </w:p>
    <w:p>
      <w:pPr>
        <w:pStyle w:val="ListNumber"/>
        <w:spacing w:after="60"/>
      </w:pPr>
      <w:r>
        <w:rPr>
          <w:color w:val="1F2937"/>
          <w:sz w:val="20"/>
        </w:rPr>
        <w:t>Security-Review-Vorbereitung starten.</w:t>
      </w:r>
    </w:p>
    <w:p>
      <w:pPr>
        <w:pStyle w:val="ListNumber"/>
        <w:spacing w:after="60"/>
      </w:pPr>
      <w:r>
        <w:rPr>
          <w:color w:val="1F2937"/>
          <w:sz w:val="20"/>
        </w:rPr>
        <w:t>Tests und Dokumentation weiter ausbauen.</w:t>
      </w:r>
    </w:p>
    <w:p>
      <w:pPr>
        <w:pStyle w:val="ListNumber"/>
        <w:spacing w:after="60"/>
      </w:pPr>
      <w:r>
        <w:rPr>
          <w:color w:val="1F2937"/>
          <w:sz w:val="20"/>
        </w:rPr>
        <w:t>Developer-Utility-Prototyp definieren.</w:t>
      </w:r>
    </w:p>
    <w:p>
      <w:pPr>
        <w:pStyle w:val="ListNumber"/>
        <w:spacing w:after="60"/>
      </w:pPr>
      <w:r>
        <w:rPr>
          <w:color w:val="1F2937"/>
          <w:sz w:val="20"/>
        </w:rPr>
        <w:t>Mainnet-Readiness erst nach Prüfung weiter planen.</w:t>
      </w:r>
    </w:p>
    <w:sectPr w:rsidR="00FC693F" w:rsidRPr="0006063C" w:rsidSect="00034616">
      <w:footerReference w:type="default" r:id="rId9"/>
      <w:pgSz w:w="12240" w:h="15840"/>
      <w:pgMar w:top="1008" w:right="1008" w:bottom="936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4748B"/>
        <w:sz w:val="16"/>
      </w:rPr>
      <w:t>CompileX Litepaper v0.4 - Sepolia Testnet Documentation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 w:eastAsia="Arial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CompileX Litepaper v0.4</dc:title>
  <dc:subject>CompileX CMPX Sepolia Testnet Documentation</dc:subject>
  <dc:creator>CompileX</dc:creator>
  <cp:keywords/>
  <dc:description>Generated documentation package for CompileX v0.4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